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FD59" w14:textId="77777777" w:rsidR="00796243" w:rsidRDefault="00796243" w:rsidP="00796243">
      <w:pPr>
        <w:rPr>
          <w:b/>
          <w:bCs/>
        </w:rPr>
      </w:pPr>
    </w:p>
    <w:p w14:paraId="2276E5E5" w14:textId="092003FC" w:rsidR="00796243" w:rsidRPr="00F5372E" w:rsidRDefault="007446DB" w:rsidP="002B1640">
      <w:pPr>
        <w:ind w:left="-709"/>
        <w:rPr>
          <w:b/>
          <w:bCs/>
        </w:rPr>
      </w:pPr>
      <w:r>
        <w:rPr>
          <w:b/>
          <w:bCs/>
        </w:rPr>
        <w:t>ACTING UP AS A CONSULTANT</w:t>
      </w:r>
    </w:p>
    <w:p w14:paraId="403FF5CA" w14:textId="77777777" w:rsidR="002B1640" w:rsidRDefault="002B1640" w:rsidP="002B1640">
      <w:pPr>
        <w:ind w:left="-709"/>
      </w:pPr>
    </w:p>
    <w:p w14:paraId="7FC93B9F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 xml:space="preserve">The trainee must be in their final year of training (pro-rata for LTFT trainees), on an ARCP Outcome 1 and have passed the Part 2 </w:t>
      </w:r>
      <w:proofErr w:type="spellStart"/>
      <w:r w:rsidRPr="007446DB">
        <w:t>FRCOphth</w:t>
      </w:r>
      <w:proofErr w:type="spellEnd"/>
      <w:r w:rsidRPr="007446DB">
        <w:t xml:space="preserve"> examination.</w:t>
      </w:r>
    </w:p>
    <w:p w14:paraId="6601461C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The maximum duration for AUC is 3 months.</w:t>
      </w:r>
    </w:p>
    <w:p w14:paraId="59EB8A0B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The trainee must remain with their named Educational Supervisor whilst acting up as a consultant so that the period is covered by them in respect of an Educational Supervisor Report (ESR).</w:t>
      </w:r>
    </w:p>
    <w:p w14:paraId="3C1BBB16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There must be a named Clinical Supervisor in the same unit to whom the trainee can turn for advice and assistance.</w:t>
      </w:r>
    </w:p>
    <w:p w14:paraId="0EE514D6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The post must be with an already GMC-approved Local Education Provider.</w:t>
      </w:r>
    </w:p>
    <w:p w14:paraId="055D010E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Posts should preferably be within the trainee’s NHS England/Deanery training programme. If an AUC is undertaken outside the NHS England/Deanery, then the latter’s permission for an OOPT is required.</w:t>
      </w:r>
    </w:p>
    <w:p w14:paraId="5BFE291C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Additional College approval is not required if the AUC is within the trainee’s NHS England/Deanery training programme.</w:t>
      </w:r>
    </w:p>
    <w:p w14:paraId="407C0BC3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The post must be termed ‘acting up’, and on no account must the term ‘locum’ be used.</w:t>
      </w:r>
    </w:p>
    <w:p w14:paraId="71DC0397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The trainee will retain their National Training Number (NTN) during the period of acting up.</w:t>
      </w:r>
    </w:p>
    <w:p w14:paraId="2082AA33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Doctors who are post-CCT will not be eligible to ‘act up’ and will be expected to take up the post of locum consultant – they will be asked to resign their NTN upon taking a locum consultant post.</w:t>
      </w:r>
    </w:p>
    <w:p w14:paraId="4FC82132" w14:textId="77777777" w:rsidR="007446DB" w:rsidRPr="007446DB" w:rsidRDefault="007446DB" w:rsidP="007446DB">
      <w:pPr>
        <w:numPr>
          <w:ilvl w:val="0"/>
          <w:numId w:val="5"/>
        </w:numPr>
      </w:pPr>
      <w:r w:rsidRPr="007446DB">
        <w:t>The College will not support AUC posts in units where there are fewer than 2 consultant colleagues.</w:t>
      </w:r>
    </w:p>
    <w:p w14:paraId="796BF0FD" w14:textId="5A9F4E43" w:rsidR="008240FE" w:rsidRPr="008240FE" w:rsidRDefault="008240FE" w:rsidP="002B1640">
      <w:pPr>
        <w:ind w:left="-709"/>
      </w:pPr>
    </w:p>
    <w:sectPr w:rsidR="008240FE" w:rsidRPr="008240FE" w:rsidSect="002B16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42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D583" w14:textId="77777777" w:rsidR="00F57029" w:rsidRDefault="00F57029">
      <w:r>
        <w:separator/>
      </w:r>
    </w:p>
  </w:endnote>
  <w:endnote w:type="continuationSeparator" w:id="0">
    <w:p w14:paraId="1538B910" w14:textId="77777777" w:rsidR="00F57029" w:rsidRDefault="00F5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30A0" w14:textId="5EEA8A4A" w:rsidR="002D7B35" w:rsidRDefault="002D7B35">
    <w:pPr>
      <w:pStyle w:val="Footer"/>
    </w:pPr>
  </w:p>
  <w:p w14:paraId="33FA4F6E" w14:textId="5BB09A8C" w:rsidR="002D7B35" w:rsidRDefault="002D7B35">
    <w:pPr>
      <w:pStyle w:val="Footer"/>
    </w:pPr>
  </w:p>
  <w:p w14:paraId="24C5F89E" w14:textId="350FA4D8" w:rsidR="002D7B35" w:rsidRDefault="002B1640" w:rsidP="002B1640">
    <w:pPr>
      <w:pStyle w:val="Footer"/>
      <w:tabs>
        <w:tab w:val="clear" w:pos="4320"/>
        <w:tab w:val="clear" w:pos="8640"/>
        <w:tab w:val="left" w:pos="8208"/>
      </w:tabs>
    </w:pPr>
    <w:r>
      <w:tab/>
    </w: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BFDB" w14:textId="77777777" w:rsidR="00F57029" w:rsidRDefault="00F57029">
      <w:r>
        <w:separator/>
      </w:r>
    </w:p>
  </w:footnote>
  <w:footnote w:type="continuationSeparator" w:id="0">
    <w:p w14:paraId="01696CBD" w14:textId="77777777" w:rsidR="00F57029" w:rsidRDefault="00F5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0C7007D4" w:rsidR="57B7DA20" w:rsidRDefault="57B7DA20" w:rsidP="57B7D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F385" w14:textId="0B769357" w:rsidR="002D7B35" w:rsidRDefault="008240FE" w:rsidP="008240FE">
    <w:pPr>
      <w:pStyle w:val="Header"/>
      <w:ind w:left="-709"/>
    </w:pPr>
    <w:r>
      <w:rPr>
        <w:noProof/>
      </w:rPr>
      <w:drawing>
        <wp:inline distT="0" distB="0" distL="0" distR="0" wp14:anchorId="117500D0" wp14:editId="4FEF6983">
          <wp:extent cx="883920" cy="658495"/>
          <wp:effectExtent l="0" t="0" r="0" b="8255"/>
          <wp:docPr id="1908912787" name="Picture 1908912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36B90BAB"/>
    <w:multiLevelType w:val="multilevel"/>
    <w:tmpl w:val="B14A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4789">
    <w:abstractNumId w:val="0"/>
  </w:num>
  <w:num w:numId="2" w16cid:durableId="1111047191">
    <w:abstractNumId w:val="4"/>
  </w:num>
  <w:num w:numId="3" w16cid:durableId="444233201">
    <w:abstractNumId w:val="2"/>
  </w:num>
  <w:num w:numId="4" w16cid:durableId="979043914">
    <w:abstractNumId w:val="1"/>
  </w:num>
  <w:num w:numId="5" w16cid:durableId="288901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E"/>
    <w:rsid w:val="00096EEA"/>
    <w:rsid w:val="000A383A"/>
    <w:rsid w:val="00184BCE"/>
    <w:rsid w:val="002152EB"/>
    <w:rsid w:val="002B1640"/>
    <w:rsid w:val="002D7B35"/>
    <w:rsid w:val="002F5EF8"/>
    <w:rsid w:val="0030472E"/>
    <w:rsid w:val="003229A8"/>
    <w:rsid w:val="00416641"/>
    <w:rsid w:val="004B6DEF"/>
    <w:rsid w:val="004C5A16"/>
    <w:rsid w:val="004D27C3"/>
    <w:rsid w:val="004E27DB"/>
    <w:rsid w:val="00585242"/>
    <w:rsid w:val="00596C9C"/>
    <w:rsid w:val="005B046E"/>
    <w:rsid w:val="005E216B"/>
    <w:rsid w:val="00655ECB"/>
    <w:rsid w:val="00672E40"/>
    <w:rsid w:val="006778ED"/>
    <w:rsid w:val="00690367"/>
    <w:rsid w:val="006A2B90"/>
    <w:rsid w:val="006D5AA3"/>
    <w:rsid w:val="007446DB"/>
    <w:rsid w:val="00745A2F"/>
    <w:rsid w:val="00796243"/>
    <w:rsid w:val="008167D7"/>
    <w:rsid w:val="008210CB"/>
    <w:rsid w:val="008240FE"/>
    <w:rsid w:val="008F1B93"/>
    <w:rsid w:val="008F6589"/>
    <w:rsid w:val="009C5AB9"/>
    <w:rsid w:val="00A374A4"/>
    <w:rsid w:val="00B428D8"/>
    <w:rsid w:val="00BF0096"/>
    <w:rsid w:val="00C870B4"/>
    <w:rsid w:val="00CA19CD"/>
    <w:rsid w:val="00CD6EFD"/>
    <w:rsid w:val="00D36BAD"/>
    <w:rsid w:val="00DE3C13"/>
    <w:rsid w:val="00E376FC"/>
    <w:rsid w:val="00E44166"/>
    <w:rsid w:val="00E70462"/>
    <w:rsid w:val="00E70FD4"/>
    <w:rsid w:val="00EA2A3D"/>
    <w:rsid w:val="00ED1D7A"/>
    <w:rsid w:val="00F07A33"/>
    <w:rsid w:val="00F3155A"/>
    <w:rsid w:val="00F470E1"/>
    <w:rsid w:val="00F56D9F"/>
    <w:rsid w:val="00F57029"/>
    <w:rsid w:val="00F73398"/>
    <w:rsid w:val="00FA3B66"/>
    <w:rsid w:val="00FA67C7"/>
    <w:rsid w:val="57B7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7962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FCF9-3F5B-4C2B-8BAB-F6E0E88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Kim Scrivener</cp:lastModifiedBy>
  <cp:revision>2</cp:revision>
  <cp:lastPrinted>2015-01-05T12:54:00Z</cp:lastPrinted>
  <dcterms:created xsi:type="dcterms:W3CDTF">2024-08-08T13:42:00Z</dcterms:created>
  <dcterms:modified xsi:type="dcterms:W3CDTF">2024-08-08T13:42:00Z</dcterms:modified>
</cp:coreProperties>
</file>